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9427" w:h="326" w:hRule="exact" w:wrap="none" w:vAnchor="page" w:hAnchor="page" w:x="1531" w:y="11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Профилактика экстремистской деятельности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Правовые и организационные основы противодействия экстремистской деятельности, ответственность за ее осуществление установлены Федеральным законом от 25.07.2002 № 114-ФЗ «О противодействии экстремистской деятельности» (далее- Федеральный закон).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Экстремистская деятельность (экстремизм) </w:t>
      </w:r>
      <w:r>
        <w:rPr>
          <w:color w:val="917C7E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очень широкое понятие, к его проявлениям относятся как насильственное изменение основ конституционного строя и (или) нарушение территориальной целостности Российской Федерации, гак и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религии, а также массовое распространение заведомо экстремистских материалов, а равно их изготовление или хранение в целях массового распространения и т.д. (ст.1 Федерального закона).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силу ст.З Федерального закона противодействие экстремистской деятельности осуществляется по следующим основным направлениям: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принятие профилактических мер.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деятельности: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Как установлено ст.5 Федерального закона, 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этом Федеральным законом детально описываются только специальные меры профилактики экстремизма.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Так, одной из профилактических мер является предостережение прокурора, которое объявляется руководителю общественного или религиозного объединения либо руководителю иной организации, а также другим соответствующим лицам при наличии достаточных и предварительно подтвержденных сведений о готовящихся противоправных действиях, содержащих признаки экстремистской деятельности, и при отсутствии оснований для привлечения к уголовной ответственности. В случае невыполнения требований, изложенных в предостережении, лицо, которому было объявлено данное предостережение, может быть привлечено к ответственности в установленном порядке (ст.6 Федерального закона).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Согласно ст.7 Федерального закона общественному или религиозному объединению либо иной организации в случае выявления фактов, свидетельствующих о наличии в их деятельности признаков экстремизма, выносится предупреждение в письменной форме о недопустимости такой деятельности с указанием конкретных оснований вынесения предупреждения, в том числе допущенных нарушений. Предупреждение выносится прокурором либо федеральным органом исполнительной власти, осуществляющим функции в сфере государственной регистрации некоммерческих организаций, общественных объединений и религиозных организаций.</w:t>
      </w:r>
    </w:p>
    <w:p>
      <w:pPr>
        <w:pStyle w:val="Style2"/>
        <w:keepNext w:val="0"/>
        <w:keepLines w:val="0"/>
        <w:framePr w:w="9427" w:h="13642" w:hRule="exact" w:wrap="none" w:vAnchor="page" w:hAnchor="page" w:x="1531" w:y="2067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Частным видом предупреждения является предупреждение учредителю и (или) редакции (главному редактору) средства массовой информации о недопустимости распространения через средство массовой информации экстремистских материалов либо фактов, свидетельствующих о наличии в его деятельности признаков экстремизма, которое выносится уполномоченным государственным органом, осуществившим регистрацию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9413" w:h="883" w:hRule="exact" w:wrap="none" w:vAnchor="page" w:hAnchor="page" w:x="1539" w:y="1136"/>
        <w:widowControl w:val="0"/>
        <w:shd w:val="clear" w:color="auto" w:fill="auto"/>
        <w:bidi w:val="0"/>
        <w:spacing w:before="0" w:after="0" w:line="26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данного средства массовой информации, либо федеральным органом исполнительной власти в сфере печати, телерадиовещания и средств массовых коммуникаций, либо прокурором (ст.8 Федерального закона).</w:t>
      </w:r>
    </w:p>
    <w:p>
      <w:pPr>
        <w:pStyle w:val="Style2"/>
        <w:keepNext w:val="0"/>
        <w:keepLines w:val="0"/>
        <w:framePr w:w="9413" w:h="979" w:hRule="exact" w:wrap="none" w:vAnchor="page" w:hAnchor="page" w:x="1539" w:y="2523"/>
        <w:widowControl w:val="0"/>
        <w:shd w:val="clear" w:color="auto" w:fill="auto"/>
        <w:bidi w:val="0"/>
        <w:spacing w:before="0" w:after="0" w:line="446" w:lineRule="auto"/>
        <w:ind w:left="19" w:right="5193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Помощник прокурора Аларского района</w:t>
        <w:br/>
        <w:t>юрист 1 класса</w:t>
      </w:r>
    </w:p>
    <w:p>
      <w:pPr>
        <w:framePr w:wrap="none" w:vAnchor="page" w:hAnchor="page" w:x="6123" w:y="2585"/>
        <w:widowControl w:val="0"/>
        <w:rPr>
          <w:sz w:val="2"/>
          <w:szCs w:val="2"/>
        </w:rPr>
      </w:pPr>
      <w:r>
        <w:drawing>
          <wp:inline>
            <wp:extent cx="829310" cy="57277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829310" cy="572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"/>
        <w:keepNext w:val="0"/>
        <w:keepLines w:val="0"/>
        <w:framePr w:wrap="none" w:vAnchor="page" w:hAnchor="page" w:x="9262" w:y="3003"/>
        <w:widowControl w:val="0"/>
        <w:shd w:val="clear" w:color="auto" w:fill="auto"/>
        <w:bidi w:val="0"/>
        <w:spacing w:before="0" w:after="0" w:line="240" w:lineRule="auto"/>
        <w:ind w:left="9" w:right="9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В.С. Дарханов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line="264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