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Основные изменения в налогообложении имущества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Налоговые уведомления, направляемые в 2026 г., содержат расчет налогов на имущество физических лиц за налоговый п</w:t>
      </w:r>
      <w:bookmarkStart w:id="0" w:name="_GoBack"/>
      <w:bookmarkEnd w:id="0"/>
      <w:r>
        <w:rPr>
          <w:sz w:val="28"/>
          <w:szCs w:val="28"/>
        </w:rPr>
        <w:t>ериод 2025 года. При этом по сравнению с предыдущим налоговым периодом произошли следующие основные изменения.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от уплаты налога освобождены ветераны боевых действий, участники СВО и члены их семей, указанные в подпунктах 9.1 – 9.5 пункта 1 статьи 407 НК РФ (льгота предоставляется в отношении одного транспортного средства по выбору налогоплательщика за исключением легковых автомобилей, сумма налога в отношении которых исчисляется с учетом повышающего коэффициента, а также водных (кроме моторных лодок) и воздушных транспортных средств);</w:t>
      </w:r>
      <w:proofErr w:type="gramEnd"/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расчете налога применен сформированный </w:t>
      </w:r>
      <w:proofErr w:type="spellStart"/>
      <w:r>
        <w:rPr>
          <w:sz w:val="28"/>
          <w:szCs w:val="28"/>
        </w:rPr>
        <w:t>Минпромторгом</w:t>
      </w:r>
      <w:proofErr w:type="spellEnd"/>
      <w:r>
        <w:rPr>
          <w:sz w:val="28"/>
          <w:szCs w:val="28"/>
        </w:rPr>
        <w:t xml:space="preserve"> России Перечень (</w:t>
      </w:r>
      <w:hyperlink r:id="rId5" w:history="1">
        <w:r>
          <w:rPr>
            <w:rStyle w:val="a3"/>
            <w:sz w:val="28"/>
            <w:szCs w:val="28"/>
          </w:rPr>
          <w:t>https://minpromtorg.gov.ru/docs/list/?pdfModalID=4b5f6f32-79e2-4106-8581-168f95459159</w:t>
        </w:r>
      </w:hyperlink>
      <w:r>
        <w:rPr>
          <w:sz w:val="28"/>
          <w:szCs w:val="28"/>
        </w:rPr>
        <w:t xml:space="preserve">) легковых автомобилей средней стоимостью от 10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руб. на 2025 год, размещенный на официальном сайте </w:t>
      </w:r>
      <w:proofErr w:type="spellStart"/>
      <w:r>
        <w:rPr>
          <w:sz w:val="28"/>
          <w:szCs w:val="28"/>
        </w:rPr>
        <w:t>Минпромторга</w:t>
      </w:r>
      <w:proofErr w:type="spellEnd"/>
      <w:r>
        <w:rPr>
          <w:sz w:val="28"/>
          <w:szCs w:val="28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лет);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6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налоговый вычет (уменьшение налоговой базы земельного участка на величину кадастровой стоимости 600 </w:t>
      </w:r>
      <w:proofErr w:type="spellStart"/>
      <w:r>
        <w:rPr>
          <w:sz w:val="28"/>
          <w:szCs w:val="28"/>
        </w:rPr>
        <w:t>кв</w:t>
      </w:r>
      <w:proofErr w:type="gramStart"/>
      <w:r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 xml:space="preserve"> площади данного земельного участка) предоставлен участникам СВО и членам их семей, указанных в подпунктах 9.1 – 9.5 пункта 1 статьи 407 НК РФ;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освобождены от уплаты налога физические лица – в отношении земельных участков, расположенных на территории, на которой в соответствии с законодательством Российской Федерации введены режимы ЧП, ЧС или КТО и в отношении жителей принято решение о временном отселении (эвакуации);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7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 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- при исчисления налога использован коэффициент 10-типроцентного ограничения роста налога по сравнению с предшествующим налоговым периодом (за исключением объектов, включенных в перечень, определяемый в соответствии с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п. 7 ст. 378.2</w:t>
        </w:r>
      </w:hyperlink>
      <w:r>
        <w:rPr>
          <w:sz w:val="28"/>
          <w:szCs w:val="28"/>
        </w:rPr>
        <w:t xml:space="preserve"> НК РФ, а также объектов, предусмотренных </w:t>
      </w:r>
      <w:hyperlink r:id="rId9" w:history="1">
        <w:proofErr w:type="spellStart"/>
        <w:r>
          <w:rPr>
            <w:rStyle w:val="a3"/>
            <w:color w:val="auto"/>
            <w:sz w:val="28"/>
            <w:szCs w:val="28"/>
            <w:u w:val="none"/>
          </w:rPr>
          <w:t>абз</w:t>
        </w:r>
        <w:proofErr w:type="spellEnd"/>
        <w:r>
          <w:rPr>
            <w:rStyle w:val="a3"/>
            <w:color w:val="auto"/>
            <w:sz w:val="28"/>
            <w:szCs w:val="28"/>
            <w:u w:val="none"/>
          </w:rPr>
          <w:t>. 2 п. 10 ст. 378.2</w:t>
        </w:r>
      </w:hyperlink>
      <w:r>
        <w:rPr>
          <w:sz w:val="28"/>
          <w:szCs w:val="28"/>
        </w:rPr>
        <w:t xml:space="preserve"> НК РФ, кроме 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-мест, расположенных в таких объектах налогообложения); </w:t>
      </w:r>
      <w:proofErr w:type="gramEnd"/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освобождены от уплаты налога физические лица – в отношении объектов налогообложения, расположенных на территории, на которой в соответствии с законодательством Российской Федерации введены режимы ЧП, ЧС или КТО и в отношении жителей принято решение о временном отселении (эвакуации);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0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).</w:t>
      </w:r>
    </w:p>
    <w:p w:rsidR="00AF456A" w:rsidRDefault="00AF456A"/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72A"/>
    <w:rsid w:val="000C1E39"/>
    <w:rsid w:val="0014272A"/>
    <w:rsid w:val="002D4938"/>
    <w:rsid w:val="003239A9"/>
    <w:rsid w:val="003F32FC"/>
    <w:rsid w:val="00A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9A9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239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9A9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239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6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inpromtorg.gov.ru/docs/list/?pdfModalID=4b5f6f32-79e2-4106-8581-168f95459159" TargetMode="External"/><Relationship Id="rId10" Type="http://schemas.openxmlformats.org/officeDocument/2006/relationships/hyperlink" Target="https://www.nalog.ru/rn38/service/ta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13DDD4F5949782ABCC7F471EBAA0DBD36BC9A260528B02D0162870BECD6B1D85164060D4424C86A700C56DB049752E2E5FDCF0DDC33DA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Полевик Екатерина Петровна</dc:creator>
  <cp:lastModifiedBy>Андрей</cp:lastModifiedBy>
  <cp:revision>2</cp:revision>
  <dcterms:created xsi:type="dcterms:W3CDTF">2026-09-14T02:10:00Z</dcterms:created>
  <dcterms:modified xsi:type="dcterms:W3CDTF">2026-09-14T02:10:00Z</dcterms:modified>
</cp:coreProperties>
</file>